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0A323A6" w:rsidR="008003A1" w:rsidRDefault="008003A1" w:rsidP="001703D2">
      <w:pPr>
        <w:spacing w:after="0" w:line="240" w:lineRule="auto"/>
        <w:rPr>
          <w:rFonts w:ascii="Arial" w:hAnsi="Arial" w:cs="Arial"/>
          <w:b/>
          <w:bCs/>
        </w:rPr>
      </w:pPr>
      <w:r w:rsidRPr="001703D2">
        <w:rPr>
          <w:rFonts w:ascii="Arial" w:hAnsi="Arial" w:cs="Arial"/>
          <w:b/>
          <w:bCs/>
        </w:rPr>
        <w:t>Proposal Title:</w:t>
      </w:r>
      <w:r w:rsidR="00E16673">
        <w:rPr>
          <w:rFonts w:ascii="Arial" w:hAnsi="Arial" w:cs="Arial"/>
          <w:b/>
          <w:bCs/>
        </w:rPr>
        <w:t xml:space="preserve"> Auchterarder Town Bus Service </w:t>
      </w:r>
    </w:p>
    <w:p w14:paraId="194158E2" w14:textId="77777777" w:rsidR="001703D2" w:rsidRPr="001703D2" w:rsidRDefault="001703D2" w:rsidP="001703D2">
      <w:pPr>
        <w:spacing w:after="0" w:line="240" w:lineRule="auto"/>
        <w:rPr>
          <w:rFonts w:ascii="Arial" w:hAnsi="Arial" w:cs="Arial"/>
          <w:b/>
          <w:bCs/>
        </w:rPr>
      </w:pPr>
    </w:p>
    <w:p w14:paraId="58E21787" w14:textId="2A133F26"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E16673">
        <w:rPr>
          <w:rFonts w:ascii="Arial" w:hAnsi="Arial" w:cs="Arial"/>
          <w:b/>
          <w:bCs/>
        </w:rPr>
        <w:t xml:space="preserve"> Auchterarder Community Bus Group (ACBuG)</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AC43C0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E3657">
        <w:rPr>
          <w:rFonts w:ascii="Arial" w:hAnsi="Arial" w:cs="Arial"/>
          <w:b/>
          <w:bCs/>
        </w:rPr>
        <w:t>42,600</w:t>
      </w:r>
    </w:p>
    <w:p w14:paraId="618034DF" w14:textId="2C5B5EB1" w:rsidR="008003A1" w:rsidRPr="008C3D8F"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AF5E82">
        <w:rPr>
          <w:rFonts w:ascii="Arial" w:hAnsi="Arial" w:cs="Arial"/>
          <w:b/>
          <w:bCs/>
        </w:rPr>
        <w:t>14,2</w:t>
      </w:r>
      <w:r w:rsidR="008C3D8F" w:rsidRPr="008C3D8F">
        <w:rPr>
          <w:rFonts w:ascii="Arial" w:hAnsi="Arial" w:cs="Arial"/>
          <w:b/>
          <w:bCs/>
        </w:rPr>
        <w:t>00</w:t>
      </w:r>
    </w:p>
    <w:p w14:paraId="5E2E8AAB" w14:textId="3854E65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8C3D8F">
        <w:rPr>
          <w:rFonts w:ascii="Arial" w:hAnsi="Arial" w:cs="Arial"/>
          <w:b/>
          <w:bCs/>
        </w:rPr>
        <w:t>15,000</w:t>
      </w:r>
    </w:p>
    <w:p w14:paraId="3A8AB4D6" w14:textId="212EFEC8"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1A3C04">
        <w:rPr>
          <w:rFonts w:ascii="Arial" w:hAnsi="Arial" w:cs="Arial"/>
          <w:b/>
          <w:bCs/>
        </w:rPr>
        <w:t>10,000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D2469E">
        <w:tc>
          <w:tcPr>
            <w:tcW w:w="7694"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22" w:type="dxa"/>
          </w:tcPr>
          <w:p w14:paraId="24502E94" w14:textId="77777777" w:rsidR="008003A1" w:rsidRPr="001703D2" w:rsidRDefault="008003A1" w:rsidP="00D2469E">
            <w:pPr>
              <w:rPr>
                <w:rFonts w:ascii="Arial" w:hAnsi="Arial" w:cs="Arial"/>
                <w:b/>
                <w:bCs/>
              </w:rPr>
            </w:pPr>
            <w:r w:rsidRPr="001703D2">
              <w:rPr>
                <w:rFonts w:ascii="Arial" w:hAnsi="Arial" w:cs="Arial"/>
                <w:b/>
                <w:bCs/>
              </w:rPr>
              <w:t>Cost</w:t>
            </w:r>
          </w:p>
        </w:tc>
      </w:tr>
      <w:tr w:rsidR="008003A1" w:rsidRPr="001703D2" w14:paraId="7E9A79C8" w14:textId="77777777" w:rsidTr="00D2469E">
        <w:tc>
          <w:tcPr>
            <w:tcW w:w="7694" w:type="dxa"/>
          </w:tcPr>
          <w:p w14:paraId="2D64FC6D" w14:textId="11FA1253" w:rsidR="008003A1" w:rsidRPr="001703D2" w:rsidRDefault="00803C99" w:rsidP="001703D2">
            <w:pPr>
              <w:jc w:val="left"/>
              <w:rPr>
                <w:rFonts w:ascii="Arial" w:hAnsi="Arial" w:cs="Arial"/>
                <w:b/>
                <w:bCs/>
              </w:rPr>
            </w:pPr>
            <w:r>
              <w:rPr>
                <w:rFonts w:ascii="Arial" w:hAnsi="Arial" w:cs="Arial"/>
                <w:b/>
                <w:bCs/>
              </w:rPr>
              <w:t>Revenue cost for the operation of the Town Bus Service</w:t>
            </w:r>
            <w:r w:rsidR="007E3657">
              <w:rPr>
                <w:rFonts w:ascii="Arial" w:hAnsi="Arial" w:cs="Arial"/>
                <w:b/>
                <w:bCs/>
              </w:rPr>
              <w:t xml:space="preserve"> </w:t>
            </w:r>
            <w:r w:rsidR="00736DE2">
              <w:rPr>
                <w:rFonts w:ascii="Arial" w:hAnsi="Arial" w:cs="Arial"/>
                <w:b/>
                <w:bCs/>
              </w:rPr>
              <w:t>**</w:t>
            </w:r>
          </w:p>
        </w:tc>
        <w:tc>
          <w:tcPr>
            <w:tcW w:w="1322" w:type="dxa"/>
          </w:tcPr>
          <w:p w14:paraId="1634B1EC" w14:textId="5568ED2E" w:rsidR="008003A1" w:rsidRPr="001703D2" w:rsidRDefault="007E3657" w:rsidP="007E3657">
            <w:pPr>
              <w:jc w:val="right"/>
              <w:rPr>
                <w:rFonts w:ascii="Arial" w:hAnsi="Arial" w:cs="Arial"/>
                <w:b/>
                <w:bCs/>
              </w:rPr>
            </w:pPr>
            <w:r>
              <w:rPr>
                <w:rFonts w:ascii="Arial" w:hAnsi="Arial" w:cs="Arial"/>
                <w:b/>
                <w:bCs/>
              </w:rPr>
              <w:t>38,300</w:t>
            </w:r>
          </w:p>
        </w:tc>
      </w:tr>
      <w:tr w:rsidR="008003A1" w:rsidRPr="001703D2" w14:paraId="55064D03" w14:textId="77777777" w:rsidTr="00D2469E">
        <w:tc>
          <w:tcPr>
            <w:tcW w:w="7694" w:type="dxa"/>
          </w:tcPr>
          <w:p w14:paraId="073EDFB3" w14:textId="7484A534" w:rsidR="008003A1" w:rsidRPr="001703D2" w:rsidRDefault="00803C99" w:rsidP="001703D2">
            <w:pPr>
              <w:jc w:val="left"/>
              <w:rPr>
                <w:rFonts w:ascii="Arial" w:hAnsi="Arial" w:cs="Arial"/>
                <w:b/>
                <w:bCs/>
              </w:rPr>
            </w:pPr>
            <w:r>
              <w:rPr>
                <w:rFonts w:ascii="Arial" w:hAnsi="Arial" w:cs="Arial"/>
                <w:b/>
                <w:bCs/>
              </w:rPr>
              <w:t>Publicity</w:t>
            </w:r>
          </w:p>
        </w:tc>
        <w:tc>
          <w:tcPr>
            <w:tcW w:w="1322" w:type="dxa"/>
          </w:tcPr>
          <w:p w14:paraId="12189B30" w14:textId="00764CED" w:rsidR="008003A1" w:rsidRPr="001703D2" w:rsidRDefault="007E3657" w:rsidP="007E3657">
            <w:pPr>
              <w:jc w:val="right"/>
              <w:rPr>
                <w:rFonts w:ascii="Arial" w:hAnsi="Arial" w:cs="Arial"/>
                <w:b/>
                <w:bCs/>
              </w:rPr>
            </w:pPr>
            <w:r>
              <w:rPr>
                <w:rFonts w:ascii="Arial" w:hAnsi="Arial" w:cs="Arial"/>
                <w:b/>
                <w:bCs/>
              </w:rPr>
              <w:t>2,500</w:t>
            </w:r>
          </w:p>
        </w:tc>
      </w:tr>
      <w:tr w:rsidR="008003A1" w:rsidRPr="001703D2" w14:paraId="6A960318" w14:textId="77777777" w:rsidTr="00D2469E">
        <w:tc>
          <w:tcPr>
            <w:tcW w:w="7694" w:type="dxa"/>
          </w:tcPr>
          <w:p w14:paraId="6DC55E5A" w14:textId="625ACDCF" w:rsidR="008003A1" w:rsidRPr="001703D2" w:rsidRDefault="00803C99" w:rsidP="001703D2">
            <w:pPr>
              <w:jc w:val="left"/>
              <w:rPr>
                <w:rFonts w:ascii="Arial" w:hAnsi="Arial" w:cs="Arial"/>
                <w:b/>
                <w:bCs/>
              </w:rPr>
            </w:pPr>
            <w:r>
              <w:rPr>
                <w:rFonts w:ascii="Arial" w:hAnsi="Arial" w:cs="Arial"/>
                <w:b/>
                <w:bCs/>
              </w:rPr>
              <w:t>Insurance and other Admin costs</w:t>
            </w:r>
          </w:p>
        </w:tc>
        <w:tc>
          <w:tcPr>
            <w:tcW w:w="1322" w:type="dxa"/>
          </w:tcPr>
          <w:p w14:paraId="47C1A2F9" w14:textId="42767DB7" w:rsidR="008003A1" w:rsidRPr="001703D2" w:rsidRDefault="007E3657" w:rsidP="007E3657">
            <w:pPr>
              <w:jc w:val="right"/>
              <w:rPr>
                <w:rFonts w:ascii="Arial" w:hAnsi="Arial" w:cs="Arial"/>
                <w:b/>
                <w:bCs/>
              </w:rPr>
            </w:pPr>
            <w:r>
              <w:rPr>
                <w:rFonts w:ascii="Arial" w:hAnsi="Arial" w:cs="Arial"/>
                <w:b/>
                <w:bCs/>
              </w:rPr>
              <w:t>300</w:t>
            </w:r>
          </w:p>
        </w:tc>
      </w:tr>
      <w:tr w:rsidR="008003A1" w:rsidRPr="001703D2" w14:paraId="0455ADD8" w14:textId="77777777" w:rsidTr="00D2469E">
        <w:tc>
          <w:tcPr>
            <w:tcW w:w="7694" w:type="dxa"/>
          </w:tcPr>
          <w:p w14:paraId="1801AB5A" w14:textId="0AA55C02" w:rsidR="008003A1" w:rsidRPr="001703D2" w:rsidRDefault="00803C99" w:rsidP="001703D2">
            <w:pPr>
              <w:jc w:val="left"/>
              <w:rPr>
                <w:rFonts w:ascii="Arial" w:hAnsi="Arial" w:cs="Arial"/>
                <w:b/>
                <w:bCs/>
              </w:rPr>
            </w:pPr>
            <w:r>
              <w:rPr>
                <w:rFonts w:ascii="Arial" w:hAnsi="Arial" w:cs="Arial"/>
                <w:b/>
                <w:bCs/>
              </w:rPr>
              <w:t>Operational Contingencies</w:t>
            </w:r>
          </w:p>
        </w:tc>
        <w:tc>
          <w:tcPr>
            <w:tcW w:w="1322" w:type="dxa"/>
          </w:tcPr>
          <w:p w14:paraId="13176A4C" w14:textId="77495675" w:rsidR="008003A1" w:rsidRPr="001703D2" w:rsidRDefault="007E3657" w:rsidP="007E3657">
            <w:pPr>
              <w:jc w:val="right"/>
              <w:rPr>
                <w:rFonts w:ascii="Arial" w:hAnsi="Arial" w:cs="Arial"/>
                <w:b/>
                <w:bCs/>
              </w:rPr>
            </w:pPr>
            <w:r>
              <w:rPr>
                <w:rFonts w:ascii="Arial" w:hAnsi="Arial" w:cs="Arial"/>
                <w:b/>
                <w:bCs/>
              </w:rPr>
              <w:t>1,500</w:t>
            </w:r>
          </w:p>
        </w:tc>
      </w:tr>
      <w:tr w:rsidR="008003A1" w:rsidRPr="001703D2" w14:paraId="12273133" w14:textId="77777777" w:rsidTr="00D2469E">
        <w:tc>
          <w:tcPr>
            <w:tcW w:w="7694" w:type="dxa"/>
          </w:tcPr>
          <w:p w14:paraId="65FAEED7" w14:textId="77777777" w:rsidR="008003A1" w:rsidRPr="001703D2" w:rsidRDefault="008003A1" w:rsidP="001703D2">
            <w:pPr>
              <w:jc w:val="left"/>
              <w:rPr>
                <w:rFonts w:ascii="Arial" w:hAnsi="Arial" w:cs="Arial"/>
                <w:b/>
                <w:bCs/>
              </w:rPr>
            </w:pPr>
          </w:p>
        </w:tc>
        <w:tc>
          <w:tcPr>
            <w:tcW w:w="1322" w:type="dxa"/>
          </w:tcPr>
          <w:p w14:paraId="66A990DC" w14:textId="77777777" w:rsidR="008003A1" w:rsidRPr="001703D2" w:rsidRDefault="008003A1" w:rsidP="007E3657">
            <w:pPr>
              <w:jc w:val="right"/>
              <w:rPr>
                <w:rFonts w:ascii="Arial" w:hAnsi="Arial" w:cs="Arial"/>
                <w:b/>
                <w:bCs/>
              </w:rPr>
            </w:pPr>
          </w:p>
        </w:tc>
      </w:tr>
      <w:tr w:rsidR="008003A1" w:rsidRPr="001703D2" w14:paraId="6272C62D" w14:textId="77777777" w:rsidTr="00D2469E">
        <w:tc>
          <w:tcPr>
            <w:tcW w:w="7694" w:type="dxa"/>
          </w:tcPr>
          <w:p w14:paraId="04972CE0" w14:textId="419DAEAD" w:rsidR="008003A1" w:rsidRPr="007E3657" w:rsidRDefault="007E3657" w:rsidP="007E3657">
            <w:pPr>
              <w:jc w:val="left"/>
              <w:rPr>
                <w:rFonts w:ascii="Arial" w:hAnsi="Arial" w:cs="Arial"/>
                <w:b/>
                <w:bCs/>
              </w:rPr>
            </w:pPr>
            <w:r w:rsidRPr="007E3657">
              <w:rPr>
                <w:rFonts w:ascii="Arial" w:hAnsi="Arial" w:cs="Arial"/>
                <w:b/>
                <w:bCs/>
              </w:rPr>
              <w:t>*</w:t>
            </w:r>
            <w:r w:rsidR="00736DE2">
              <w:rPr>
                <w:rFonts w:ascii="Arial" w:hAnsi="Arial" w:cs="Arial"/>
                <w:b/>
                <w:bCs/>
              </w:rPr>
              <w:t>*</w:t>
            </w:r>
            <w:r>
              <w:rPr>
                <w:rFonts w:ascii="Arial" w:hAnsi="Arial" w:cs="Arial"/>
                <w:b/>
                <w:bCs/>
              </w:rPr>
              <w:t xml:space="preserve"> </w:t>
            </w:r>
            <w:r w:rsidRPr="007E3657">
              <w:rPr>
                <w:rFonts w:ascii="Arial" w:hAnsi="Arial" w:cs="Arial"/>
                <w:b/>
                <w:bCs/>
              </w:rPr>
              <w:t>Three</w:t>
            </w:r>
            <w:r>
              <w:rPr>
                <w:rFonts w:ascii="Arial" w:hAnsi="Arial" w:cs="Arial"/>
                <w:b/>
                <w:bCs/>
              </w:rPr>
              <w:t>-</w:t>
            </w:r>
            <w:r w:rsidRPr="007E3657">
              <w:rPr>
                <w:rFonts w:ascii="Arial" w:hAnsi="Arial" w:cs="Arial"/>
                <w:b/>
                <w:bCs/>
              </w:rPr>
              <w:t>day</w:t>
            </w:r>
            <w:r>
              <w:rPr>
                <w:rFonts w:ascii="Arial" w:hAnsi="Arial" w:cs="Arial"/>
                <w:b/>
                <w:bCs/>
              </w:rPr>
              <w:t xml:space="preserve"> operation.  </w:t>
            </w:r>
          </w:p>
        </w:tc>
        <w:tc>
          <w:tcPr>
            <w:tcW w:w="1322" w:type="dxa"/>
          </w:tcPr>
          <w:p w14:paraId="36A13B75" w14:textId="77777777" w:rsidR="008003A1" w:rsidRPr="001703D2" w:rsidRDefault="008003A1" w:rsidP="007E3657">
            <w:pPr>
              <w:jc w:val="right"/>
              <w:rPr>
                <w:rFonts w:ascii="Arial" w:hAnsi="Arial" w:cs="Arial"/>
                <w:b/>
                <w:bCs/>
              </w:rPr>
            </w:pPr>
          </w:p>
        </w:tc>
      </w:tr>
      <w:tr w:rsidR="008003A1" w:rsidRPr="001703D2" w14:paraId="3615641C" w14:textId="77777777" w:rsidTr="00D2469E">
        <w:tc>
          <w:tcPr>
            <w:tcW w:w="7694" w:type="dxa"/>
          </w:tcPr>
          <w:p w14:paraId="6829A1E8" w14:textId="77777777" w:rsidR="008003A1" w:rsidRPr="001703D2" w:rsidRDefault="008003A1" w:rsidP="001703D2">
            <w:pPr>
              <w:jc w:val="left"/>
              <w:rPr>
                <w:rFonts w:ascii="Arial" w:hAnsi="Arial" w:cs="Arial"/>
                <w:b/>
                <w:bCs/>
              </w:rPr>
            </w:pPr>
          </w:p>
        </w:tc>
        <w:tc>
          <w:tcPr>
            <w:tcW w:w="1322" w:type="dxa"/>
          </w:tcPr>
          <w:p w14:paraId="20354143" w14:textId="77777777" w:rsidR="008003A1" w:rsidRPr="001703D2" w:rsidRDefault="008003A1" w:rsidP="007E3657">
            <w:pPr>
              <w:jc w:val="right"/>
              <w:rPr>
                <w:rFonts w:ascii="Arial" w:hAnsi="Arial" w:cs="Arial"/>
                <w:b/>
                <w:bCs/>
              </w:rPr>
            </w:pPr>
          </w:p>
        </w:tc>
      </w:tr>
      <w:tr w:rsidR="008003A1" w:rsidRPr="001703D2" w14:paraId="29A11A16" w14:textId="77777777" w:rsidTr="00D2469E">
        <w:tc>
          <w:tcPr>
            <w:tcW w:w="7694" w:type="dxa"/>
          </w:tcPr>
          <w:p w14:paraId="6FD8BBF3" w14:textId="21A8C588" w:rsidR="008003A1" w:rsidRPr="001703D2" w:rsidRDefault="008003A1" w:rsidP="001703D2">
            <w:pPr>
              <w:jc w:val="left"/>
              <w:rPr>
                <w:rFonts w:ascii="Arial" w:hAnsi="Arial" w:cs="Arial"/>
                <w:b/>
                <w:bCs/>
              </w:rPr>
            </w:pPr>
            <w:r w:rsidRPr="001703D2">
              <w:rPr>
                <w:rFonts w:ascii="Arial" w:hAnsi="Arial" w:cs="Arial"/>
                <w:b/>
                <w:bCs/>
              </w:rPr>
              <w:t>Total</w:t>
            </w:r>
            <w:r w:rsidR="007E3657">
              <w:rPr>
                <w:rFonts w:ascii="Arial" w:hAnsi="Arial" w:cs="Arial"/>
                <w:b/>
                <w:bCs/>
              </w:rPr>
              <w:t xml:space="preserve"> ^</w:t>
            </w:r>
          </w:p>
        </w:tc>
        <w:tc>
          <w:tcPr>
            <w:tcW w:w="1322" w:type="dxa"/>
          </w:tcPr>
          <w:p w14:paraId="68AF56C8" w14:textId="580D7C05" w:rsidR="008003A1" w:rsidRPr="001703D2" w:rsidRDefault="007E3657" w:rsidP="007E3657">
            <w:pPr>
              <w:jc w:val="right"/>
              <w:rPr>
                <w:rFonts w:ascii="Arial" w:hAnsi="Arial" w:cs="Arial"/>
                <w:b/>
                <w:bCs/>
              </w:rPr>
            </w:pPr>
            <w:r>
              <w:rPr>
                <w:rFonts w:ascii="Arial" w:hAnsi="Arial" w:cs="Arial"/>
                <w:b/>
                <w:bCs/>
              </w:rPr>
              <w:t>42,600</w:t>
            </w:r>
          </w:p>
        </w:tc>
      </w:tr>
    </w:tbl>
    <w:p w14:paraId="24729942" w14:textId="77777777" w:rsidR="008003A1" w:rsidRDefault="008003A1" w:rsidP="001703D2">
      <w:pPr>
        <w:spacing w:after="0" w:line="240" w:lineRule="auto"/>
        <w:rPr>
          <w:rFonts w:ascii="Arial" w:hAnsi="Arial" w:cs="Arial"/>
          <w:b/>
          <w:bCs/>
        </w:rPr>
      </w:pPr>
    </w:p>
    <w:p w14:paraId="1F77D8ED" w14:textId="78ED56E0" w:rsidR="00680872" w:rsidRDefault="007E3657" w:rsidP="001703D2">
      <w:pPr>
        <w:spacing w:after="0" w:line="240" w:lineRule="auto"/>
        <w:rPr>
          <w:rFonts w:ascii="Arial" w:hAnsi="Arial" w:cs="Arial"/>
          <w:b/>
          <w:bCs/>
        </w:rPr>
      </w:pPr>
      <w:r>
        <w:rPr>
          <w:rFonts w:ascii="Arial" w:hAnsi="Arial" w:cs="Arial"/>
          <w:b/>
          <w:bCs/>
        </w:rPr>
        <w:t>^ Note for a four-day operation the total cost would be £55,300</w:t>
      </w: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55A37B14" w:rsidR="008003A1" w:rsidRPr="001703D2" w:rsidRDefault="007E3657" w:rsidP="001703D2">
            <w:pPr>
              <w:jc w:val="left"/>
              <w:rPr>
                <w:rFonts w:ascii="Arial" w:hAnsi="Arial" w:cs="Arial"/>
                <w:b/>
                <w:bCs/>
              </w:rPr>
            </w:pPr>
            <w:r>
              <w:rPr>
                <w:rFonts w:ascii="Arial" w:hAnsi="Arial" w:cs="Arial"/>
                <w:b/>
                <w:bCs/>
              </w:rPr>
              <w:t>Auchterarder &amp; District Community Trust</w:t>
            </w:r>
          </w:p>
        </w:tc>
        <w:tc>
          <w:tcPr>
            <w:tcW w:w="1750" w:type="dxa"/>
          </w:tcPr>
          <w:p w14:paraId="37C68908" w14:textId="449F70A4" w:rsidR="008003A1" w:rsidRPr="001703D2" w:rsidRDefault="008C3D8F" w:rsidP="008C3D8F">
            <w:pPr>
              <w:jc w:val="right"/>
              <w:rPr>
                <w:rFonts w:ascii="Arial" w:hAnsi="Arial" w:cs="Arial"/>
                <w:b/>
                <w:bCs/>
              </w:rPr>
            </w:pPr>
            <w:r>
              <w:rPr>
                <w:rFonts w:ascii="Arial" w:hAnsi="Arial" w:cs="Arial"/>
                <w:b/>
                <w:bCs/>
              </w:rPr>
              <w:t>5,000</w:t>
            </w:r>
          </w:p>
        </w:tc>
        <w:tc>
          <w:tcPr>
            <w:tcW w:w="1224" w:type="dxa"/>
          </w:tcPr>
          <w:p w14:paraId="5683D62A" w14:textId="40C7E3C8" w:rsidR="008003A1" w:rsidRPr="001703D2" w:rsidRDefault="008C3D8F" w:rsidP="008C3D8F">
            <w:pPr>
              <w:rPr>
                <w:rFonts w:ascii="Arial" w:hAnsi="Arial" w:cs="Arial"/>
                <w:b/>
                <w:bCs/>
              </w:rPr>
            </w:pPr>
            <w:r>
              <w:rPr>
                <w:rFonts w:ascii="Arial" w:hAnsi="Arial" w:cs="Arial"/>
                <w:b/>
                <w:bCs/>
              </w:rPr>
              <w:t>√</w:t>
            </w:r>
          </w:p>
        </w:tc>
        <w:tc>
          <w:tcPr>
            <w:tcW w:w="1508" w:type="dxa"/>
          </w:tcPr>
          <w:p w14:paraId="1ABBF66E" w14:textId="77777777" w:rsidR="008003A1" w:rsidRPr="001703D2" w:rsidRDefault="008003A1" w:rsidP="001703D2">
            <w:pPr>
              <w:jc w:val="left"/>
              <w:rPr>
                <w:rFonts w:ascii="Arial" w:hAnsi="Arial" w:cs="Arial"/>
                <w:b/>
                <w:bCs/>
              </w:rPr>
            </w:pPr>
          </w:p>
        </w:tc>
      </w:tr>
      <w:tr w:rsidR="00AF5E82" w:rsidRPr="001703D2" w14:paraId="408CF6FC" w14:textId="77777777" w:rsidTr="00E16152">
        <w:tc>
          <w:tcPr>
            <w:tcW w:w="4534" w:type="dxa"/>
          </w:tcPr>
          <w:p w14:paraId="3799724E" w14:textId="3352B492" w:rsidR="00AF5E82" w:rsidRDefault="00AF5E82" w:rsidP="00AF5E82">
            <w:pPr>
              <w:jc w:val="left"/>
              <w:rPr>
                <w:rFonts w:ascii="Arial" w:hAnsi="Arial" w:cs="Arial"/>
                <w:b/>
                <w:bCs/>
              </w:rPr>
            </w:pPr>
            <w:r>
              <w:rPr>
                <w:rFonts w:ascii="Arial" w:hAnsi="Arial" w:cs="Arial"/>
                <w:b/>
                <w:bCs/>
              </w:rPr>
              <w:t xml:space="preserve">Friends of St Margaret’s </w:t>
            </w:r>
          </w:p>
        </w:tc>
        <w:tc>
          <w:tcPr>
            <w:tcW w:w="1750" w:type="dxa"/>
          </w:tcPr>
          <w:p w14:paraId="14C2DBFA" w14:textId="14996860" w:rsidR="00AF5E82" w:rsidRDefault="00AF5E82" w:rsidP="008C3D8F">
            <w:pPr>
              <w:jc w:val="right"/>
              <w:rPr>
                <w:rFonts w:ascii="Arial" w:hAnsi="Arial" w:cs="Arial"/>
                <w:b/>
                <w:bCs/>
              </w:rPr>
            </w:pPr>
            <w:r>
              <w:rPr>
                <w:rFonts w:ascii="Arial" w:hAnsi="Arial" w:cs="Arial"/>
                <w:b/>
                <w:bCs/>
              </w:rPr>
              <w:t>7,500</w:t>
            </w:r>
          </w:p>
        </w:tc>
        <w:tc>
          <w:tcPr>
            <w:tcW w:w="1224" w:type="dxa"/>
          </w:tcPr>
          <w:p w14:paraId="127DBDCB" w14:textId="00644961" w:rsidR="00AF5E82" w:rsidRDefault="00AF5E82" w:rsidP="008C3D8F">
            <w:pPr>
              <w:rPr>
                <w:rFonts w:ascii="Arial" w:hAnsi="Arial" w:cs="Arial"/>
                <w:b/>
                <w:bCs/>
              </w:rPr>
            </w:pPr>
            <w:r>
              <w:rPr>
                <w:rFonts w:ascii="Arial" w:hAnsi="Arial" w:cs="Arial"/>
                <w:b/>
                <w:bCs/>
              </w:rPr>
              <w:t>√</w:t>
            </w:r>
          </w:p>
        </w:tc>
        <w:tc>
          <w:tcPr>
            <w:tcW w:w="1508" w:type="dxa"/>
          </w:tcPr>
          <w:p w14:paraId="7CE6E285" w14:textId="77777777" w:rsidR="00AF5E82" w:rsidRPr="001703D2" w:rsidRDefault="00AF5E82" w:rsidP="001703D2">
            <w:pPr>
              <w:rPr>
                <w:rFonts w:ascii="Arial" w:hAnsi="Arial" w:cs="Arial"/>
                <w:b/>
                <w:bCs/>
              </w:rPr>
            </w:pPr>
          </w:p>
        </w:tc>
      </w:tr>
      <w:tr w:rsidR="008003A1" w:rsidRPr="001703D2" w14:paraId="63972D8A" w14:textId="77777777" w:rsidTr="00E16152">
        <w:tc>
          <w:tcPr>
            <w:tcW w:w="4534" w:type="dxa"/>
          </w:tcPr>
          <w:p w14:paraId="19A1084C" w14:textId="76152C66" w:rsidR="008003A1" w:rsidRPr="001703D2" w:rsidRDefault="007E3657" w:rsidP="001703D2">
            <w:pPr>
              <w:jc w:val="left"/>
              <w:rPr>
                <w:rFonts w:ascii="Arial" w:hAnsi="Arial" w:cs="Arial"/>
                <w:b/>
                <w:bCs/>
              </w:rPr>
            </w:pPr>
            <w:r>
              <w:rPr>
                <w:rFonts w:ascii="Arial" w:hAnsi="Arial" w:cs="Arial"/>
                <w:b/>
                <w:bCs/>
              </w:rPr>
              <w:t xml:space="preserve">The National Lottery - Awards for All </w:t>
            </w:r>
          </w:p>
        </w:tc>
        <w:tc>
          <w:tcPr>
            <w:tcW w:w="1750" w:type="dxa"/>
          </w:tcPr>
          <w:p w14:paraId="51C80767" w14:textId="483D4EC0" w:rsidR="008003A1" w:rsidRPr="001703D2" w:rsidRDefault="008C3D8F" w:rsidP="008C3D8F">
            <w:pPr>
              <w:jc w:val="right"/>
              <w:rPr>
                <w:rFonts w:ascii="Arial" w:hAnsi="Arial" w:cs="Arial"/>
                <w:b/>
                <w:bCs/>
              </w:rPr>
            </w:pPr>
            <w:r>
              <w:rPr>
                <w:rFonts w:ascii="Arial" w:hAnsi="Arial" w:cs="Arial"/>
                <w:b/>
                <w:bCs/>
              </w:rPr>
              <w:t>1,700</w:t>
            </w:r>
          </w:p>
        </w:tc>
        <w:tc>
          <w:tcPr>
            <w:tcW w:w="1224" w:type="dxa"/>
          </w:tcPr>
          <w:p w14:paraId="01D0D250" w14:textId="78684514" w:rsidR="008003A1" w:rsidRPr="001703D2" w:rsidRDefault="008C3D8F" w:rsidP="008C3D8F">
            <w:pPr>
              <w:rPr>
                <w:rFonts w:ascii="Arial" w:hAnsi="Arial" w:cs="Arial"/>
                <w:b/>
                <w:bCs/>
              </w:rPr>
            </w:pPr>
            <w:r>
              <w:rPr>
                <w:rFonts w:ascii="Arial" w:hAnsi="Arial" w:cs="Arial"/>
                <w:b/>
                <w:bCs/>
              </w:rPr>
              <w:t>√</w:t>
            </w:r>
          </w:p>
        </w:tc>
        <w:tc>
          <w:tcPr>
            <w:tcW w:w="1508" w:type="dxa"/>
          </w:tcPr>
          <w:p w14:paraId="4320FD03" w14:textId="77777777" w:rsidR="008003A1" w:rsidRPr="001703D2" w:rsidRDefault="008003A1" w:rsidP="008C3D8F">
            <w:pPr>
              <w:rPr>
                <w:rFonts w:ascii="Arial" w:hAnsi="Arial" w:cs="Arial"/>
                <w:b/>
                <w:bCs/>
              </w:rPr>
            </w:pPr>
          </w:p>
        </w:tc>
      </w:tr>
      <w:tr w:rsidR="008003A1" w:rsidRPr="001703D2" w14:paraId="3F4898B8" w14:textId="77777777" w:rsidTr="00E16152">
        <w:tc>
          <w:tcPr>
            <w:tcW w:w="4534" w:type="dxa"/>
          </w:tcPr>
          <w:p w14:paraId="679CD777" w14:textId="224C7F0A" w:rsidR="008003A1" w:rsidRPr="001703D2" w:rsidRDefault="007E3657" w:rsidP="001703D2">
            <w:pPr>
              <w:jc w:val="left"/>
              <w:rPr>
                <w:rFonts w:ascii="Arial" w:hAnsi="Arial" w:cs="Arial"/>
                <w:b/>
                <w:bCs/>
              </w:rPr>
            </w:pPr>
            <w:r>
              <w:rPr>
                <w:rFonts w:ascii="Arial" w:hAnsi="Arial" w:cs="Arial"/>
                <w:b/>
                <w:bCs/>
              </w:rPr>
              <w:t xml:space="preserve">Friends of St Margaret’s </w:t>
            </w:r>
          </w:p>
        </w:tc>
        <w:tc>
          <w:tcPr>
            <w:tcW w:w="1750" w:type="dxa"/>
          </w:tcPr>
          <w:p w14:paraId="0702D3F7" w14:textId="487A6BA1" w:rsidR="008003A1" w:rsidRPr="001703D2" w:rsidRDefault="007E3657" w:rsidP="008C3D8F">
            <w:pPr>
              <w:jc w:val="right"/>
              <w:rPr>
                <w:rFonts w:ascii="Arial" w:hAnsi="Arial" w:cs="Arial"/>
                <w:b/>
                <w:bCs/>
              </w:rPr>
            </w:pPr>
            <w:r>
              <w:rPr>
                <w:rFonts w:ascii="Arial" w:hAnsi="Arial" w:cs="Arial"/>
                <w:b/>
                <w:bCs/>
              </w:rPr>
              <w:t>1</w:t>
            </w:r>
            <w:r w:rsidR="00AF5E82">
              <w:rPr>
                <w:rFonts w:ascii="Arial" w:hAnsi="Arial" w:cs="Arial"/>
                <w:b/>
                <w:bCs/>
              </w:rPr>
              <w:t>5</w:t>
            </w:r>
            <w:r>
              <w:rPr>
                <w:rFonts w:ascii="Arial" w:hAnsi="Arial" w:cs="Arial"/>
                <w:b/>
                <w:bCs/>
              </w:rPr>
              <w:t>,000</w:t>
            </w:r>
          </w:p>
        </w:tc>
        <w:tc>
          <w:tcPr>
            <w:tcW w:w="1224" w:type="dxa"/>
          </w:tcPr>
          <w:p w14:paraId="128A5525" w14:textId="77777777" w:rsidR="008003A1" w:rsidRPr="001703D2" w:rsidRDefault="008003A1" w:rsidP="008C3D8F">
            <w:pPr>
              <w:rPr>
                <w:rFonts w:ascii="Arial" w:hAnsi="Arial" w:cs="Arial"/>
                <w:b/>
                <w:bCs/>
              </w:rPr>
            </w:pPr>
          </w:p>
        </w:tc>
        <w:tc>
          <w:tcPr>
            <w:tcW w:w="1508" w:type="dxa"/>
          </w:tcPr>
          <w:p w14:paraId="5FF11893" w14:textId="5072464F" w:rsidR="008003A1" w:rsidRPr="001703D2" w:rsidRDefault="008C3D8F" w:rsidP="008C3D8F">
            <w:pPr>
              <w:rPr>
                <w:rFonts w:ascii="Arial" w:hAnsi="Arial" w:cs="Arial"/>
                <w:b/>
                <w:bCs/>
              </w:rPr>
            </w:pPr>
            <w:r>
              <w:rPr>
                <w:rFonts w:ascii="Arial" w:hAnsi="Arial" w:cs="Arial"/>
                <w:b/>
                <w:bCs/>
              </w:rPr>
              <w:t>√</w:t>
            </w:r>
          </w:p>
        </w:tc>
      </w:tr>
      <w:tr w:rsidR="007E3657" w:rsidRPr="001703D2" w14:paraId="5FC49F60" w14:textId="77777777" w:rsidTr="00E16152">
        <w:tc>
          <w:tcPr>
            <w:tcW w:w="4534" w:type="dxa"/>
          </w:tcPr>
          <w:p w14:paraId="5E87BF7D" w14:textId="52F84C5A" w:rsidR="007E3657" w:rsidRDefault="00D2469E" w:rsidP="008C3D8F">
            <w:pPr>
              <w:jc w:val="left"/>
              <w:rPr>
                <w:rFonts w:ascii="Arial" w:hAnsi="Arial" w:cs="Arial"/>
                <w:b/>
                <w:bCs/>
              </w:rPr>
            </w:pPr>
            <w:r w:rsidRPr="001703D2">
              <w:rPr>
                <w:rFonts w:ascii="Arial" w:hAnsi="Arial" w:cs="Arial"/>
                <w:b/>
                <w:bCs/>
              </w:rPr>
              <w:t>Total</w:t>
            </w:r>
          </w:p>
        </w:tc>
        <w:tc>
          <w:tcPr>
            <w:tcW w:w="1750" w:type="dxa"/>
          </w:tcPr>
          <w:p w14:paraId="18C9F63B" w14:textId="5F453AB1" w:rsidR="007E3657" w:rsidRDefault="00D2469E" w:rsidP="008C3D8F">
            <w:pPr>
              <w:jc w:val="right"/>
              <w:rPr>
                <w:rFonts w:ascii="Arial" w:hAnsi="Arial" w:cs="Arial"/>
                <w:b/>
                <w:bCs/>
              </w:rPr>
            </w:pPr>
            <w:r>
              <w:rPr>
                <w:rFonts w:ascii="Arial" w:hAnsi="Arial" w:cs="Arial"/>
                <w:b/>
                <w:bCs/>
              </w:rPr>
              <w:t>2</w:t>
            </w:r>
            <w:r w:rsidR="00AF5E82">
              <w:rPr>
                <w:rFonts w:ascii="Arial" w:hAnsi="Arial" w:cs="Arial"/>
                <w:b/>
                <w:bCs/>
              </w:rPr>
              <w:t>9,200</w:t>
            </w:r>
          </w:p>
        </w:tc>
        <w:tc>
          <w:tcPr>
            <w:tcW w:w="1224" w:type="dxa"/>
          </w:tcPr>
          <w:p w14:paraId="16F7E46B" w14:textId="77777777" w:rsidR="007E3657" w:rsidRPr="001703D2" w:rsidRDefault="007E3657" w:rsidP="008C3D8F">
            <w:pPr>
              <w:rPr>
                <w:rFonts w:ascii="Arial" w:hAnsi="Arial" w:cs="Arial"/>
                <w:b/>
                <w:bCs/>
              </w:rPr>
            </w:pPr>
          </w:p>
        </w:tc>
        <w:tc>
          <w:tcPr>
            <w:tcW w:w="1508" w:type="dxa"/>
          </w:tcPr>
          <w:p w14:paraId="3F028C14" w14:textId="77777777" w:rsidR="007E3657" w:rsidRPr="001703D2" w:rsidRDefault="007E3657" w:rsidP="008C3D8F">
            <w:pPr>
              <w:rPr>
                <w:rFonts w:ascii="Arial" w:hAnsi="Arial" w:cs="Arial"/>
                <w:b/>
                <w:bCs/>
              </w:rPr>
            </w:pPr>
          </w:p>
        </w:tc>
      </w:tr>
      <w:tr w:rsidR="00D2469E" w:rsidRPr="001703D2" w14:paraId="75E62CB3" w14:textId="77777777" w:rsidTr="00E16152">
        <w:tc>
          <w:tcPr>
            <w:tcW w:w="4534" w:type="dxa"/>
          </w:tcPr>
          <w:p w14:paraId="090243E0" w14:textId="77777777" w:rsidR="00D2469E" w:rsidRDefault="00D2469E" w:rsidP="008C3D8F">
            <w:pPr>
              <w:rPr>
                <w:rFonts w:ascii="Arial" w:hAnsi="Arial" w:cs="Arial"/>
                <w:b/>
                <w:bCs/>
              </w:rPr>
            </w:pPr>
          </w:p>
        </w:tc>
        <w:tc>
          <w:tcPr>
            <w:tcW w:w="1750" w:type="dxa"/>
          </w:tcPr>
          <w:p w14:paraId="36F29230" w14:textId="77777777" w:rsidR="00D2469E" w:rsidRDefault="00D2469E" w:rsidP="008C3D8F">
            <w:pPr>
              <w:jc w:val="right"/>
              <w:rPr>
                <w:rFonts w:ascii="Arial" w:hAnsi="Arial" w:cs="Arial"/>
                <w:b/>
                <w:bCs/>
              </w:rPr>
            </w:pPr>
          </w:p>
        </w:tc>
        <w:tc>
          <w:tcPr>
            <w:tcW w:w="1224" w:type="dxa"/>
          </w:tcPr>
          <w:p w14:paraId="12DEFC8E" w14:textId="77777777" w:rsidR="00D2469E" w:rsidRPr="001703D2" w:rsidRDefault="00D2469E" w:rsidP="008C3D8F">
            <w:pPr>
              <w:rPr>
                <w:rFonts w:ascii="Arial" w:hAnsi="Arial" w:cs="Arial"/>
                <w:b/>
                <w:bCs/>
              </w:rPr>
            </w:pPr>
          </w:p>
        </w:tc>
        <w:tc>
          <w:tcPr>
            <w:tcW w:w="1508" w:type="dxa"/>
          </w:tcPr>
          <w:p w14:paraId="0F8B8125" w14:textId="77777777" w:rsidR="00D2469E" w:rsidRPr="001703D2" w:rsidRDefault="00D2469E" w:rsidP="008C3D8F">
            <w:pPr>
              <w:rPr>
                <w:rFonts w:ascii="Arial" w:hAnsi="Arial" w:cs="Arial"/>
                <w:b/>
                <w:bCs/>
              </w:rPr>
            </w:pPr>
          </w:p>
        </w:tc>
      </w:tr>
      <w:tr w:rsidR="008C3D8F" w:rsidRPr="001703D2" w14:paraId="27896B28" w14:textId="77777777" w:rsidTr="00E16152">
        <w:tc>
          <w:tcPr>
            <w:tcW w:w="4534" w:type="dxa"/>
          </w:tcPr>
          <w:p w14:paraId="126958DE" w14:textId="6A4D85B3" w:rsidR="008C3D8F" w:rsidRPr="00D2469E" w:rsidRDefault="008C3D8F" w:rsidP="008C3D8F">
            <w:pPr>
              <w:jc w:val="left"/>
              <w:rPr>
                <w:rFonts w:ascii="Arial" w:hAnsi="Arial" w:cs="Arial"/>
              </w:rPr>
            </w:pPr>
            <w:r w:rsidRPr="00D2469E">
              <w:rPr>
                <w:rFonts w:ascii="Arial" w:hAnsi="Arial" w:cs="Arial"/>
              </w:rPr>
              <w:t>Pending application(s):</w:t>
            </w:r>
          </w:p>
        </w:tc>
        <w:tc>
          <w:tcPr>
            <w:tcW w:w="1750" w:type="dxa"/>
          </w:tcPr>
          <w:p w14:paraId="6E82EFD2" w14:textId="77777777" w:rsidR="008C3D8F" w:rsidRPr="00D2469E" w:rsidRDefault="008C3D8F" w:rsidP="008C3D8F">
            <w:pPr>
              <w:jc w:val="right"/>
              <w:rPr>
                <w:rFonts w:ascii="Arial" w:hAnsi="Arial" w:cs="Arial"/>
              </w:rPr>
            </w:pPr>
          </w:p>
        </w:tc>
        <w:tc>
          <w:tcPr>
            <w:tcW w:w="1224" w:type="dxa"/>
          </w:tcPr>
          <w:p w14:paraId="30374DD1" w14:textId="77777777" w:rsidR="008C3D8F" w:rsidRPr="001703D2" w:rsidRDefault="008C3D8F" w:rsidP="008C3D8F">
            <w:pPr>
              <w:rPr>
                <w:rFonts w:ascii="Arial" w:hAnsi="Arial" w:cs="Arial"/>
                <w:b/>
                <w:bCs/>
              </w:rPr>
            </w:pPr>
          </w:p>
        </w:tc>
        <w:tc>
          <w:tcPr>
            <w:tcW w:w="1508" w:type="dxa"/>
          </w:tcPr>
          <w:p w14:paraId="54B10E96" w14:textId="77777777" w:rsidR="008C3D8F" w:rsidRPr="001703D2" w:rsidRDefault="008C3D8F" w:rsidP="008C3D8F">
            <w:pPr>
              <w:rPr>
                <w:rFonts w:ascii="Arial" w:hAnsi="Arial" w:cs="Arial"/>
                <w:b/>
                <w:bCs/>
              </w:rPr>
            </w:pPr>
          </w:p>
        </w:tc>
      </w:tr>
      <w:tr w:rsidR="007E3657" w:rsidRPr="001703D2" w14:paraId="5E0A0A35" w14:textId="77777777" w:rsidTr="00E16152">
        <w:tc>
          <w:tcPr>
            <w:tcW w:w="4534" w:type="dxa"/>
          </w:tcPr>
          <w:p w14:paraId="720ECA20" w14:textId="1EF599F7" w:rsidR="007E3657" w:rsidRPr="00D2469E" w:rsidRDefault="008C3D8F" w:rsidP="008C3D8F">
            <w:pPr>
              <w:jc w:val="left"/>
              <w:rPr>
                <w:rFonts w:ascii="Arial" w:hAnsi="Arial" w:cs="Arial"/>
              </w:rPr>
            </w:pPr>
            <w:r w:rsidRPr="00D2469E">
              <w:rPr>
                <w:rFonts w:ascii="Arial" w:hAnsi="Arial" w:cs="Arial"/>
              </w:rPr>
              <w:t>The National Lottery - Awards for All</w:t>
            </w:r>
          </w:p>
        </w:tc>
        <w:tc>
          <w:tcPr>
            <w:tcW w:w="1750" w:type="dxa"/>
          </w:tcPr>
          <w:p w14:paraId="3C6D11F5" w14:textId="04085000" w:rsidR="007E3657" w:rsidRPr="00D2469E" w:rsidRDefault="00AF5E82" w:rsidP="008C3D8F">
            <w:pPr>
              <w:jc w:val="right"/>
              <w:rPr>
                <w:rFonts w:ascii="Arial" w:hAnsi="Arial" w:cs="Arial"/>
              </w:rPr>
            </w:pPr>
            <w:r>
              <w:rPr>
                <w:rFonts w:ascii="Arial" w:hAnsi="Arial" w:cs="Arial"/>
              </w:rPr>
              <w:t>1</w:t>
            </w:r>
            <w:r w:rsidR="008C3D8F" w:rsidRPr="00D2469E">
              <w:rPr>
                <w:rFonts w:ascii="Arial" w:hAnsi="Arial" w:cs="Arial"/>
              </w:rPr>
              <w:t>0,000</w:t>
            </w:r>
          </w:p>
        </w:tc>
        <w:tc>
          <w:tcPr>
            <w:tcW w:w="1224" w:type="dxa"/>
          </w:tcPr>
          <w:p w14:paraId="3F56AE42" w14:textId="77777777" w:rsidR="007E3657" w:rsidRPr="001703D2" w:rsidRDefault="007E3657" w:rsidP="008C3D8F">
            <w:pPr>
              <w:rPr>
                <w:rFonts w:ascii="Arial" w:hAnsi="Arial" w:cs="Arial"/>
                <w:b/>
                <w:bCs/>
              </w:rPr>
            </w:pPr>
          </w:p>
        </w:tc>
        <w:tc>
          <w:tcPr>
            <w:tcW w:w="1508" w:type="dxa"/>
          </w:tcPr>
          <w:p w14:paraId="7B67F409" w14:textId="77777777" w:rsidR="007E3657" w:rsidRPr="001703D2" w:rsidRDefault="007E3657" w:rsidP="008C3D8F">
            <w:pPr>
              <w:rPr>
                <w:rFonts w:ascii="Arial" w:hAnsi="Arial" w:cs="Arial"/>
                <w:b/>
                <w:bCs/>
              </w:rPr>
            </w:pPr>
          </w:p>
        </w:tc>
      </w:tr>
      <w:tr w:rsidR="008003A1" w:rsidRPr="001703D2" w14:paraId="2F73870F" w14:textId="77777777" w:rsidTr="00E16152">
        <w:tc>
          <w:tcPr>
            <w:tcW w:w="4534" w:type="dxa"/>
          </w:tcPr>
          <w:p w14:paraId="5F179219" w14:textId="4D033F10" w:rsidR="008003A1" w:rsidRPr="00D2469E" w:rsidRDefault="008C3D8F" w:rsidP="001703D2">
            <w:pPr>
              <w:jc w:val="left"/>
              <w:rPr>
                <w:rFonts w:ascii="Arial" w:hAnsi="Arial" w:cs="Arial"/>
              </w:rPr>
            </w:pPr>
            <w:r w:rsidRPr="00D2469E">
              <w:rPr>
                <w:rFonts w:ascii="Arial" w:hAnsi="Arial" w:cs="Arial"/>
              </w:rPr>
              <w:t>Auchterarder Community Facilities Fund</w:t>
            </w:r>
          </w:p>
        </w:tc>
        <w:tc>
          <w:tcPr>
            <w:tcW w:w="1750" w:type="dxa"/>
          </w:tcPr>
          <w:p w14:paraId="264CBF52" w14:textId="4BF9929E" w:rsidR="008003A1" w:rsidRPr="00D2469E" w:rsidRDefault="00AF5E82" w:rsidP="008C3D8F">
            <w:pPr>
              <w:jc w:val="right"/>
              <w:rPr>
                <w:rFonts w:ascii="Arial" w:hAnsi="Arial" w:cs="Arial"/>
              </w:rPr>
            </w:pPr>
            <w:r>
              <w:rPr>
                <w:rFonts w:ascii="Arial" w:hAnsi="Arial" w:cs="Arial"/>
              </w:rPr>
              <w:t>5</w:t>
            </w:r>
            <w:r w:rsidR="008C3D8F" w:rsidRPr="00D2469E">
              <w:rPr>
                <w:rFonts w:ascii="Arial" w:hAnsi="Arial" w:cs="Arial"/>
              </w:rPr>
              <w:t>,000</w:t>
            </w:r>
          </w:p>
        </w:tc>
        <w:tc>
          <w:tcPr>
            <w:tcW w:w="1224" w:type="dxa"/>
          </w:tcPr>
          <w:p w14:paraId="69547864" w14:textId="77777777" w:rsidR="008003A1" w:rsidRPr="001703D2" w:rsidRDefault="008003A1" w:rsidP="008C3D8F">
            <w:pPr>
              <w:rPr>
                <w:rFonts w:ascii="Arial" w:hAnsi="Arial" w:cs="Arial"/>
                <w:b/>
                <w:bCs/>
              </w:rPr>
            </w:pPr>
          </w:p>
        </w:tc>
        <w:tc>
          <w:tcPr>
            <w:tcW w:w="1508" w:type="dxa"/>
          </w:tcPr>
          <w:p w14:paraId="689B78BB" w14:textId="77777777" w:rsidR="008003A1" w:rsidRPr="001703D2" w:rsidRDefault="008003A1" w:rsidP="008C3D8F">
            <w:pPr>
              <w:rPr>
                <w:rFonts w:ascii="Arial" w:hAnsi="Arial" w:cs="Arial"/>
                <w:b/>
                <w:bCs/>
              </w:rPr>
            </w:pPr>
          </w:p>
        </w:tc>
      </w:tr>
    </w:tbl>
    <w:p w14:paraId="0D2B06F1" w14:textId="77777777" w:rsidR="00D2469E" w:rsidRDefault="00D2469E" w:rsidP="001703D2">
      <w:pPr>
        <w:spacing w:after="0" w:line="240" w:lineRule="auto"/>
        <w:rPr>
          <w:rFonts w:ascii="Arial" w:eastAsia="Calibri" w:hAnsi="Arial" w:cs="Arial"/>
          <w:b/>
          <w:bCs/>
          <w:sz w:val="24"/>
          <w:szCs w:val="24"/>
          <w:u w:val="single"/>
        </w:rPr>
      </w:pPr>
    </w:p>
    <w:p w14:paraId="281C8EBF" w14:textId="32F57234"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02DB61F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1B0ABA">
        <w:rPr>
          <w:rFonts w:ascii="Arial" w:eastAsia="Calibri" w:hAnsi="Arial" w:cs="Arial"/>
          <w:b/>
          <w:bCs/>
          <w:sz w:val="24"/>
          <w:szCs w:val="24"/>
        </w:rPr>
        <w:t>01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0B0908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7C3D83">
        <w:rPr>
          <w:rFonts w:ascii="Arial" w:eastAsia="Calibri" w:hAnsi="Arial" w:cs="Arial"/>
          <w:b/>
          <w:bCs/>
          <w:sz w:val="24"/>
          <w:szCs w:val="24"/>
        </w:rPr>
        <w:t>31 March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31FD3DEA" w14:textId="77777777" w:rsidR="00CA57CD"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p>
    <w:p w14:paraId="4FBF4E0F" w14:textId="77777777" w:rsidR="00CA57CD" w:rsidRDefault="00CA57CD" w:rsidP="00CA57CD">
      <w:pPr>
        <w:spacing w:after="0" w:line="240" w:lineRule="auto"/>
        <w:ind w:firstLine="720"/>
        <w:rPr>
          <w:rFonts w:ascii="Arial" w:eastAsia="Calibri" w:hAnsi="Arial" w:cs="Arial"/>
          <w:b/>
          <w:bCs/>
          <w:sz w:val="24"/>
          <w:szCs w:val="24"/>
        </w:rPr>
      </w:pPr>
    </w:p>
    <w:p w14:paraId="40800B4E" w14:textId="5B3D0A41" w:rsidR="00613E01" w:rsidRPr="00CA57CD" w:rsidRDefault="00AF1307" w:rsidP="00CA57CD">
      <w:pPr>
        <w:spacing w:after="0" w:line="240" w:lineRule="auto"/>
        <w:ind w:firstLine="720"/>
        <w:rPr>
          <w:rFonts w:ascii="Arial" w:eastAsia="Calibri" w:hAnsi="Arial" w:cs="Arial"/>
          <w:sz w:val="24"/>
          <w:szCs w:val="24"/>
        </w:rPr>
      </w:pPr>
      <w:r w:rsidRPr="00CA57CD">
        <w:rPr>
          <w:rFonts w:ascii="Arial" w:eastAsia="Calibri" w:hAnsi="Arial" w:cs="Arial"/>
          <w:sz w:val="24"/>
          <w:szCs w:val="24"/>
        </w:rPr>
        <w:t>200-250 passengers per week</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37930CE3" w14:textId="77777777" w:rsidR="00CA57CD"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p>
    <w:p w14:paraId="12D73CE1" w14:textId="77777777" w:rsidR="00CA57CD" w:rsidRDefault="00CA57CD" w:rsidP="001703D2">
      <w:pPr>
        <w:spacing w:after="0" w:line="240" w:lineRule="auto"/>
        <w:rPr>
          <w:rFonts w:ascii="Arial" w:eastAsia="Calibri" w:hAnsi="Arial" w:cs="Arial"/>
          <w:b/>
          <w:bCs/>
          <w:sz w:val="24"/>
          <w:szCs w:val="24"/>
        </w:rPr>
      </w:pPr>
    </w:p>
    <w:p w14:paraId="0B5AEBEC" w14:textId="0C03F618" w:rsidR="00680872" w:rsidRPr="00CA57CD" w:rsidRDefault="00CA57CD" w:rsidP="00CA57CD">
      <w:pPr>
        <w:spacing w:after="0" w:line="240" w:lineRule="auto"/>
        <w:ind w:left="720"/>
        <w:rPr>
          <w:rFonts w:ascii="Arial" w:eastAsia="Calibri" w:hAnsi="Arial" w:cs="Arial"/>
          <w:sz w:val="24"/>
          <w:szCs w:val="24"/>
          <w:u w:val="single"/>
        </w:rPr>
      </w:pPr>
      <w:r w:rsidRPr="00CA57CD">
        <w:rPr>
          <w:rFonts w:ascii="Arial" w:eastAsia="Calibri" w:hAnsi="Arial" w:cs="Arial"/>
          <w:sz w:val="24"/>
          <w:szCs w:val="24"/>
        </w:rPr>
        <w:t xml:space="preserve">Directly </w:t>
      </w:r>
      <w:r w:rsidR="000E3774">
        <w:rPr>
          <w:rFonts w:ascii="Arial" w:eastAsia="Calibri" w:hAnsi="Arial" w:cs="Arial"/>
          <w:sz w:val="24"/>
          <w:szCs w:val="24"/>
        </w:rPr>
        <w:t>five</w:t>
      </w:r>
      <w:r w:rsidRPr="00CA57CD">
        <w:rPr>
          <w:rFonts w:ascii="Arial" w:eastAsia="Calibri" w:hAnsi="Arial" w:cs="Arial"/>
          <w:sz w:val="24"/>
          <w:szCs w:val="24"/>
        </w:rPr>
        <w:t xml:space="preserve">, but numerous other volunteers/groups indirectly </w:t>
      </w:r>
      <w:r>
        <w:rPr>
          <w:rFonts w:ascii="Arial" w:eastAsia="Calibri" w:hAnsi="Arial" w:cs="Arial"/>
          <w:sz w:val="24"/>
          <w:szCs w:val="24"/>
        </w:rPr>
        <w:t xml:space="preserve">involved </w:t>
      </w:r>
      <w:r w:rsidRPr="00CA57CD">
        <w:rPr>
          <w:rFonts w:ascii="Arial" w:eastAsia="Calibri" w:hAnsi="Arial" w:cs="Arial"/>
          <w:sz w:val="24"/>
          <w:szCs w:val="24"/>
        </w:rPr>
        <w:t>due to partnership working</w:t>
      </w:r>
      <w:r>
        <w:rPr>
          <w:rFonts w:ascii="Arial" w:eastAsia="Calibri" w:hAnsi="Arial" w:cs="Arial"/>
          <w:sz w:val="24"/>
          <w:szCs w:val="24"/>
        </w:rPr>
        <w:t>.</w:t>
      </w:r>
      <w:r w:rsidR="00613E01" w:rsidRPr="00CA57CD">
        <w:rPr>
          <w:rFonts w:ascii="Arial" w:eastAsia="Calibri" w:hAnsi="Arial" w:cs="Arial"/>
          <w:sz w:val="24"/>
          <w:szCs w:val="24"/>
          <w:u w:val="single"/>
        </w:rPr>
        <w:t xml:space="preserve"> </w:t>
      </w:r>
    </w:p>
    <w:p w14:paraId="7C93BD8E" w14:textId="77777777" w:rsidR="00680872" w:rsidRPr="00CA57CD" w:rsidRDefault="00680872" w:rsidP="001703D2">
      <w:pPr>
        <w:spacing w:after="0" w:line="240" w:lineRule="auto"/>
        <w:rPr>
          <w:rFonts w:ascii="Arial" w:eastAsia="Calibri" w:hAnsi="Arial" w:cs="Arial"/>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61BD9C9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002B0F57">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48CF4F5E" w14:textId="5D8DCFF1" w:rsidR="002B0F57" w:rsidRPr="002B0F57" w:rsidRDefault="002B0F57" w:rsidP="00B06B95">
      <w:pPr>
        <w:spacing w:after="0" w:line="240" w:lineRule="auto"/>
        <w:rPr>
          <w:rFonts w:ascii="Arial" w:hAnsi="Arial" w:cs="Arial"/>
        </w:rPr>
      </w:pPr>
      <w:r w:rsidRPr="002B0F57">
        <w:rPr>
          <w:rFonts w:ascii="Arial" w:hAnsi="Arial" w:cs="Arial"/>
        </w:rPr>
        <w:t xml:space="preserve">To change a local bus service requires the new operational arrangements to be ‘approved’ by the Office of the Traffic Commissioner (Scotland) </w:t>
      </w:r>
      <w:r>
        <w:rPr>
          <w:rFonts w:ascii="Arial" w:hAnsi="Arial" w:cs="Arial"/>
        </w:rPr>
        <w:t xml:space="preserve">- </w:t>
      </w:r>
      <w:r w:rsidRPr="002B0F57">
        <w:rPr>
          <w:rFonts w:ascii="Arial" w:hAnsi="Arial" w:cs="Arial"/>
        </w:rPr>
        <w:t xml:space="preserve">following a </w:t>
      </w:r>
      <w:r w:rsidR="00E83956">
        <w:rPr>
          <w:rFonts w:ascii="Arial" w:hAnsi="Arial" w:cs="Arial"/>
        </w:rPr>
        <w:t>formal</w:t>
      </w:r>
      <w:r w:rsidRPr="002B0F57">
        <w:rPr>
          <w:rFonts w:ascii="Arial" w:hAnsi="Arial" w:cs="Arial"/>
        </w:rPr>
        <w:t xml:space="preserve"> application process.</w:t>
      </w:r>
    </w:p>
    <w:p w14:paraId="28CFC2AC" w14:textId="77777777" w:rsidR="002B0F57" w:rsidRDefault="002B0F57" w:rsidP="00B06B95">
      <w:pPr>
        <w:spacing w:after="0" w:line="240" w:lineRule="auto"/>
        <w:rPr>
          <w:rFonts w:ascii="Arial" w:hAnsi="Arial" w:cs="Arial"/>
        </w:rPr>
      </w:pPr>
      <w:r w:rsidRPr="002B0F57">
        <w:rPr>
          <w:rFonts w:ascii="Arial" w:hAnsi="Arial" w:cs="Arial"/>
        </w:rPr>
        <w:t xml:space="preserve">No problems are anticipated receiving approval, but there are set timescales for completing the process.  </w:t>
      </w:r>
    </w:p>
    <w:p w14:paraId="6FBC0605" w14:textId="4534942A" w:rsidR="00DB29BB" w:rsidRPr="002B0F57" w:rsidRDefault="002B0F57" w:rsidP="00B06B95">
      <w:pPr>
        <w:spacing w:after="0" w:line="240" w:lineRule="auto"/>
        <w:rPr>
          <w:rFonts w:ascii="Arial" w:hAnsi="Arial" w:cs="Arial"/>
        </w:rPr>
      </w:pPr>
      <w:r w:rsidRPr="002B0F57">
        <w:rPr>
          <w:rFonts w:ascii="Arial" w:hAnsi="Arial" w:cs="Arial"/>
        </w:rPr>
        <w:t xml:space="preserve">The longest it will take is 70 days, but we would aim for a shorter timeframe with the </w:t>
      </w:r>
      <w:r w:rsidR="00E83956">
        <w:rPr>
          <w:rFonts w:ascii="Arial" w:hAnsi="Arial" w:cs="Arial"/>
        </w:rPr>
        <w:t>support o</w:t>
      </w:r>
      <w:r w:rsidRPr="002B0F57">
        <w:rPr>
          <w:rFonts w:ascii="Arial" w:hAnsi="Arial" w:cs="Arial"/>
        </w:rPr>
        <w:t>f Perth &amp; Kinross Council.</w:t>
      </w:r>
    </w:p>
    <w:sectPr w:rsidR="00DB29BB" w:rsidRPr="002B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D1939"/>
    <w:multiLevelType w:val="hybridMultilevel"/>
    <w:tmpl w:val="10B4263A"/>
    <w:lvl w:ilvl="0" w:tplc="8714A1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84BDA"/>
    <w:multiLevelType w:val="hybridMultilevel"/>
    <w:tmpl w:val="E8828090"/>
    <w:lvl w:ilvl="0" w:tplc="5E6852F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1649238717">
    <w:abstractNumId w:val="0"/>
  </w:num>
  <w:num w:numId="3" w16cid:durableId="9973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0E3774"/>
    <w:rsid w:val="001703D2"/>
    <w:rsid w:val="00185F3F"/>
    <w:rsid w:val="001A3C04"/>
    <w:rsid w:val="001B0ABA"/>
    <w:rsid w:val="002B0F57"/>
    <w:rsid w:val="003B1F71"/>
    <w:rsid w:val="003C01AF"/>
    <w:rsid w:val="004E624D"/>
    <w:rsid w:val="004F10A7"/>
    <w:rsid w:val="005208B5"/>
    <w:rsid w:val="00586604"/>
    <w:rsid w:val="00613E01"/>
    <w:rsid w:val="00680872"/>
    <w:rsid w:val="006968AF"/>
    <w:rsid w:val="00736DE2"/>
    <w:rsid w:val="007C3D83"/>
    <w:rsid w:val="007E3657"/>
    <w:rsid w:val="008003A1"/>
    <w:rsid w:val="00803C99"/>
    <w:rsid w:val="008C3D8F"/>
    <w:rsid w:val="009B4069"/>
    <w:rsid w:val="009C4C60"/>
    <w:rsid w:val="009F4028"/>
    <w:rsid w:val="00AD7F7F"/>
    <w:rsid w:val="00AF1307"/>
    <w:rsid w:val="00AF5E82"/>
    <w:rsid w:val="00B06B95"/>
    <w:rsid w:val="00B21850"/>
    <w:rsid w:val="00C7666E"/>
    <w:rsid w:val="00C87BDD"/>
    <w:rsid w:val="00CA57CD"/>
    <w:rsid w:val="00D2469E"/>
    <w:rsid w:val="00DB29BB"/>
    <w:rsid w:val="00E16673"/>
    <w:rsid w:val="00E83956"/>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Andrew Warrington</cp:lastModifiedBy>
  <cp:revision>12</cp:revision>
  <cp:lastPrinted>2023-12-21T18:01:00Z</cp:lastPrinted>
  <dcterms:created xsi:type="dcterms:W3CDTF">2023-12-20T16:11:00Z</dcterms:created>
  <dcterms:modified xsi:type="dcterms:W3CDTF">2023-12-21T22:19:00Z</dcterms:modified>
</cp:coreProperties>
</file>